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2544"/>
        <w:gridCol w:w="5898"/>
        <w:gridCol w:w="319"/>
        <w:gridCol w:w="319"/>
        <w:gridCol w:w="319"/>
        <w:gridCol w:w="320"/>
        <w:gridCol w:w="353"/>
        <w:gridCol w:w="319"/>
        <w:gridCol w:w="382"/>
        <w:gridCol w:w="374"/>
        <w:gridCol w:w="382"/>
        <w:gridCol w:w="319"/>
        <w:gridCol w:w="319"/>
        <w:gridCol w:w="353"/>
        <w:gridCol w:w="353"/>
        <w:gridCol w:w="400"/>
      </w:tblGrid>
      <w:tr>
        <w:trPr>
          <w:trHeight w:val="426" w:hRule="exact"/>
        </w:trPr>
        <w:tc>
          <w:tcPr>
            <w:tcW w:w="13656" w:type="dxa"/>
            <w:gridSpan w:val="17"/>
            <w:tcBorders>
              <w:bottom w:val="single" w:sz="7" w:space="0" w:color="000000"/>
            </w:tcBorders>
            <w:shd w:val="clear" w:color="auto" w:fill="92CDDC"/>
          </w:tcPr>
          <w:p>
            <w:pPr>
              <w:pStyle w:val="TableParagraph"/>
              <w:spacing w:before="108"/>
              <w:ind w:left="101" w:right="97"/>
              <w:jc w:val="center"/>
              <w:rPr>
                <w:b/>
                <w:sz w:val="15"/>
              </w:rPr>
            </w:pPr>
            <w:r>
              <w:rPr>
                <w:b/>
                <w:color w:val="3E3E3E"/>
                <w:w w:val="105"/>
                <w:sz w:val="15"/>
                <w:u w:val="single" w:color="3E3E3E"/>
              </w:rPr>
              <w:t>CRONOGRAMA ACUERDOS DE PAGOS</w:t>
            </w:r>
          </w:p>
        </w:tc>
      </w:tr>
      <w:tr>
        <w:trPr>
          <w:trHeight w:val="230" w:hRule="exact"/>
        </w:trPr>
        <w:tc>
          <w:tcPr>
            <w:tcW w:w="8825" w:type="dxa"/>
            <w:gridSpan w:val="3"/>
            <w:vMerge w:val="restart"/>
            <w:tcBorders>
              <w:top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3909" w:right="3909"/>
              <w:jc w:val="center"/>
              <w:rPr>
                <w:b/>
                <w:sz w:val="14"/>
              </w:rPr>
            </w:pPr>
            <w:r>
              <w:rPr>
                <w:b/>
                <w:color w:val="3E3E3E"/>
                <w:sz w:val="14"/>
              </w:rPr>
              <w:t>ACTIVIDADES</w:t>
            </w:r>
          </w:p>
        </w:tc>
        <w:tc>
          <w:tcPr>
            <w:tcW w:w="1630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FFFFFF"/>
              <w:right w:val="single" w:sz="3" w:space="0" w:color="3E3E3E"/>
            </w:tcBorders>
            <w:shd w:val="clear" w:color="auto" w:fill="BEBEBE"/>
          </w:tcPr>
          <w:p>
            <w:pPr>
              <w:pStyle w:val="TableParagraph"/>
              <w:spacing w:before="54"/>
              <w:ind w:left="584" w:right="574"/>
              <w:jc w:val="center"/>
              <w:rPr>
                <w:b/>
                <w:sz w:val="7"/>
              </w:rPr>
            </w:pPr>
            <w:r>
              <w:rPr>
                <w:b/>
                <w:color w:val="3E3E3E"/>
                <w:w w:val="110"/>
                <w:sz w:val="7"/>
              </w:rPr>
              <w:t>Septiembre</w:t>
            </w:r>
          </w:p>
        </w:tc>
        <w:tc>
          <w:tcPr>
            <w:tcW w:w="1457" w:type="dxa"/>
            <w:gridSpan w:val="4"/>
            <w:tcBorders>
              <w:top w:val="single" w:sz="7" w:space="0" w:color="000000"/>
              <w:left w:val="single" w:sz="3" w:space="0" w:color="3E3E3E"/>
              <w:bottom w:val="single" w:sz="3" w:space="0" w:color="FFFFFF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563" w:right="550"/>
              <w:jc w:val="center"/>
              <w:rPr>
                <w:b/>
                <w:sz w:val="7"/>
              </w:rPr>
            </w:pPr>
            <w:r>
              <w:rPr>
                <w:b/>
                <w:color w:val="3E3E3E"/>
                <w:w w:val="110"/>
                <w:sz w:val="7"/>
              </w:rPr>
              <w:t>Octubre</w:t>
            </w:r>
          </w:p>
        </w:tc>
        <w:tc>
          <w:tcPr>
            <w:tcW w:w="1744" w:type="dxa"/>
            <w:gridSpan w:val="5"/>
            <w:tcBorders>
              <w:top w:val="single" w:sz="7" w:space="0" w:color="000000"/>
              <w:left w:val="single" w:sz="3" w:space="0" w:color="000000"/>
              <w:bottom w:val="single" w:sz="3" w:space="0" w:color="FFFFFF"/>
            </w:tcBorders>
            <w:shd w:val="clear" w:color="auto" w:fill="BEBEBE"/>
          </w:tcPr>
          <w:p>
            <w:pPr>
              <w:pStyle w:val="TableParagraph"/>
              <w:spacing w:before="54"/>
              <w:ind w:left="656" w:right="636"/>
              <w:jc w:val="center"/>
              <w:rPr>
                <w:b/>
                <w:sz w:val="7"/>
              </w:rPr>
            </w:pPr>
            <w:r>
              <w:rPr>
                <w:b/>
                <w:color w:val="3E3E3E"/>
                <w:w w:val="110"/>
                <w:sz w:val="7"/>
              </w:rPr>
              <w:t>Noviembre</w:t>
            </w:r>
          </w:p>
        </w:tc>
      </w:tr>
      <w:tr>
        <w:trPr>
          <w:trHeight w:val="187" w:hRule="exact"/>
        </w:trPr>
        <w:tc>
          <w:tcPr>
            <w:tcW w:w="8825" w:type="dxa"/>
            <w:gridSpan w:val="3"/>
            <w:vMerge/>
            <w:tcBorders>
              <w:bottom w:val="nil"/>
              <w:right w:val="single" w:sz="7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FFFFFF"/>
              <w:left w:val="nil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111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1-4</w:t>
            </w:r>
          </w:p>
        </w:tc>
        <w:tc>
          <w:tcPr>
            <w:tcW w:w="319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86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5-11</w:t>
            </w:r>
          </w:p>
        </w:tc>
        <w:tc>
          <w:tcPr>
            <w:tcW w:w="319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64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12-18</w:t>
            </w:r>
          </w:p>
        </w:tc>
        <w:tc>
          <w:tcPr>
            <w:tcW w:w="320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64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19-25</w:t>
            </w:r>
          </w:p>
        </w:tc>
        <w:tc>
          <w:tcPr>
            <w:tcW w:w="353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48" w:right="35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26 -2</w:t>
            </w:r>
          </w:p>
        </w:tc>
        <w:tc>
          <w:tcPr>
            <w:tcW w:w="319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54" w:right="38"/>
              <w:jc w:val="center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3-9</w:t>
            </w:r>
          </w:p>
        </w:tc>
        <w:tc>
          <w:tcPr>
            <w:tcW w:w="382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74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10 - 16</w:t>
            </w:r>
          </w:p>
        </w:tc>
        <w:tc>
          <w:tcPr>
            <w:tcW w:w="374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69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17 - 23</w:t>
            </w:r>
          </w:p>
        </w:tc>
        <w:tc>
          <w:tcPr>
            <w:tcW w:w="382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74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24 - 30</w:t>
            </w:r>
          </w:p>
        </w:tc>
        <w:tc>
          <w:tcPr>
            <w:tcW w:w="319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64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31 - 6</w:t>
            </w:r>
          </w:p>
        </w:tc>
        <w:tc>
          <w:tcPr>
            <w:tcW w:w="319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64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7 - 13</w:t>
            </w:r>
          </w:p>
        </w:tc>
        <w:tc>
          <w:tcPr>
            <w:tcW w:w="353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60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14 - 20</w:t>
            </w:r>
          </w:p>
        </w:tc>
        <w:tc>
          <w:tcPr>
            <w:tcW w:w="353" w:type="dxa"/>
            <w:tcBorders>
              <w:top w:val="single" w:sz="3" w:space="0" w:color="FFFFFF"/>
              <w:left w:val="single" w:sz="3" w:space="0" w:color="FFFFFF"/>
              <w:bottom w:val="nil"/>
              <w:right w:val="single" w:sz="3" w:space="0" w:color="FFFFFF"/>
            </w:tcBorders>
            <w:shd w:val="clear" w:color="auto" w:fill="000000"/>
          </w:tcPr>
          <w:p>
            <w:pPr>
              <w:pStyle w:val="TableParagraph"/>
              <w:ind w:left="60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21 - 27</w:t>
            </w:r>
          </w:p>
        </w:tc>
        <w:tc>
          <w:tcPr>
            <w:tcW w:w="400" w:type="dxa"/>
            <w:tcBorders>
              <w:top w:val="single" w:sz="3" w:space="0" w:color="FFFFFF"/>
              <w:left w:val="single" w:sz="3" w:space="0" w:color="FFFFFF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05"/>
              <w:rPr>
                <w:b/>
                <w:sz w:val="7"/>
              </w:rPr>
            </w:pPr>
            <w:r>
              <w:rPr>
                <w:b/>
                <w:color w:val="FFFFFF"/>
                <w:w w:val="110"/>
                <w:sz w:val="7"/>
              </w:rPr>
              <w:t>28 - 4</w:t>
            </w:r>
          </w:p>
        </w:tc>
      </w:tr>
      <w:tr>
        <w:trPr>
          <w:trHeight w:val="270" w:hRule="exact"/>
        </w:trPr>
        <w:tc>
          <w:tcPr>
            <w:tcW w:w="13656" w:type="dxa"/>
            <w:gridSpan w:val="17"/>
            <w:tcBorders>
              <w:top w:val="nil"/>
              <w:bottom w:val="single" w:sz="25" w:space="0" w:color="B8CCE3"/>
            </w:tcBorders>
            <w:shd w:val="clear" w:color="auto" w:fill="1F487C"/>
          </w:tcPr>
          <w:p>
            <w:pPr>
              <w:pStyle w:val="TableParagraph"/>
              <w:spacing w:before="23"/>
              <w:ind w:left="101" w:right="8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 FASE INICIAL</w:t>
            </w:r>
          </w:p>
        </w:tc>
      </w:tr>
      <w:tr>
        <w:trPr>
          <w:trHeight w:val="220" w:hRule="exact"/>
        </w:trPr>
        <w:tc>
          <w:tcPr>
            <w:tcW w:w="383" w:type="dxa"/>
            <w:vMerge w:val="restart"/>
            <w:tcBorders>
              <w:top w:val="single" w:sz="25" w:space="0" w:color="B8CCE3"/>
              <w:right w:val="single" w:sz="3" w:space="0" w:color="000000"/>
            </w:tcBorders>
          </w:tcPr>
          <w:p>
            <w:pPr/>
          </w:p>
        </w:tc>
        <w:tc>
          <w:tcPr>
            <w:tcW w:w="8442" w:type="dxa"/>
            <w:gridSpan w:val="2"/>
            <w:tcBorders>
              <w:top w:val="single" w:sz="25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19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1. Planeación del proceso de acuerdos de pago</w:t>
            </w:r>
          </w:p>
        </w:tc>
        <w:tc>
          <w:tcPr>
            <w:tcW w:w="319" w:type="dxa"/>
            <w:tcBorders>
              <w:top w:val="single" w:sz="25" w:space="0" w:color="B8CCE3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25" w:space="0" w:color="B8CCE3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192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19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2. Metodología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192" w:hRule="exact"/>
        </w:trPr>
        <w:tc>
          <w:tcPr>
            <w:tcW w:w="383" w:type="dxa"/>
            <w:vMerge/>
            <w:tcBorders>
              <w:bottom w:val="nil"/>
              <w:right w:val="single" w:sz="3" w:space="0" w:color="000000"/>
            </w:tcBorders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19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3. Cronograma y plan de trabajo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000000"/>
              <w:bottom w:val="nil"/>
              <w:right w:val="single" w:sz="3" w:space="0" w:color="3E3E3E"/>
            </w:tcBorders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nil"/>
            </w:tcBorders>
            <w:shd w:val="clear" w:color="auto" w:fill="F1F1F1"/>
          </w:tcPr>
          <w:p>
            <w:pPr/>
          </w:p>
        </w:tc>
      </w:tr>
      <w:tr>
        <w:trPr>
          <w:trHeight w:val="271" w:hRule="exact"/>
        </w:trPr>
        <w:tc>
          <w:tcPr>
            <w:tcW w:w="13656" w:type="dxa"/>
            <w:gridSpan w:val="17"/>
            <w:tcBorders>
              <w:top w:val="nil"/>
              <w:bottom w:val="single" w:sz="23" w:space="0" w:color="B8CCE3"/>
            </w:tcBorders>
            <w:shd w:val="clear" w:color="auto" w:fill="1F487C"/>
          </w:tcPr>
          <w:p>
            <w:pPr>
              <w:pStyle w:val="TableParagraph"/>
              <w:spacing w:before="23"/>
              <w:ind w:left="101" w:right="8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II FASE COMUNICACIONES</w:t>
            </w:r>
          </w:p>
        </w:tc>
      </w:tr>
      <w:tr>
        <w:trPr>
          <w:trHeight w:val="382" w:hRule="exact"/>
        </w:trPr>
        <w:tc>
          <w:tcPr>
            <w:tcW w:w="383" w:type="dxa"/>
            <w:vMerge w:val="restart"/>
            <w:tcBorders>
              <w:top w:val="single" w:sz="23" w:space="0" w:color="B8CCE3"/>
              <w:right w:val="single" w:sz="3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S</w:t>
            </w:r>
            <w:r>
              <w:rPr>
                <w:b/>
                <w:spacing w:val="-2"/>
                <w:w w:val="103"/>
                <w:sz w:val="10"/>
              </w:rPr>
              <w:t>O</w:t>
            </w:r>
            <w:r>
              <w:rPr>
                <w:b/>
                <w:spacing w:val="-1"/>
                <w:w w:val="103"/>
                <w:sz w:val="10"/>
              </w:rPr>
              <w:t>L</w:t>
            </w:r>
            <w:r>
              <w:rPr>
                <w:b/>
                <w:w w:val="103"/>
                <w:sz w:val="10"/>
              </w:rPr>
              <w:t>ICI</w:t>
            </w:r>
            <w:r>
              <w:rPr>
                <w:b/>
                <w:spacing w:val="-1"/>
                <w:w w:val="103"/>
                <w:sz w:val="10"/>
              </w:rPr>
              <w:t>T</w:t>
            </w:r>
            <w:r>
              <w:rPr>
                <w:b/>
                <w:w w:val="103"/>
                <w:sz w:val="10"/>
              </w:rPr>
              <w:t>UDE</w:t>
            </w:r>
            <w:r>
              <w:rPr>
                <w:b/>
                <w:w w:val="103"/>
                <w:sz w:val="10"/>
              </w:rPr>
              <w:t>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w w:val="103"/>
                <w:sz w:val="10"/>
              </w:rPr>
              <w:t>O</w:t>
            </w:r>
            <w:r>
              <w:rPr>
                <w:b/>
                <w:w w:val="103"/>
                <w:sz w:val="10"/>
              </w:rPr>
              <w:t>P</w:t>
            </w:r>
            <w:r>
              <w:rPr>
                <w:b/>
                <w:spacing w:val="-2"/>
                <w:w w:val="103"/>
                <w:sz w:val="10"/>
              </w:rPr>
              <w:t>O</w:t>
            </w:r>
            <w:r>
              <w:rPr>
                <w:b/>
                <w:w w:val="103"/>
                <w:sz w:val="10"/>
              </w:rPr>
              <w:t>R</w:t>
            </w:r>
            <w:r>
              <w:rPr>
                <w:b/>
                <w:spacing w:val="-1"/>
                <w:w w:val="103"/>
                <w:sz w:val="10"/>
              </w:rPr>
              <w:t>T</w:t>
            </w:r>
            <w:r>
              <w:rPr>
                <w:b/>
                <w:w w:val="103"/>
                <w:sz w:val="10"/>
              </w:rPr>
              <w:t>UN</w:t>
            </w:r>
            <w:r>
              <w:rPr>
                <w:b/>
                <w:spacing w:val="-1"/>
                <w:w w:val="103"/>
                <w:sz w:val="10"/>
              </w:rPr>
              <w:t>A</w:t>
            </w:r>
            <w:r>
              <w:rPr>
                <w:b/>
                <w:w w:val="103"/>
                <w:sz w:val="10"/>
              </w:rPr>
              <w:t>S</w:t>
            </w:r>
          </w:p>
        </w:tc>
        <w:tc>
          <w:tcPr>
            <w:tcW w:w="8442" w:type="dxa"/>
            <w:gridSpan w:val="2"/>
            <w:tcBorders>
              <w:top w:val="single" w:sz="23" w:space="0" w:color="B8CCE3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1. Comunicación inicial a los trabajadores que presentaron solicitud y que fueron reincorporados, con sumas aprobadas total o parcialmente</w:t>
            </w:r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53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23" w:space="0" w:color="B8CCE3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305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3E3E3E"/>
              <w:left w:val="single" w:sz="3" w:space="0" w:color="000000"/>
              <w:bottom w:val="single" w:sz="3" w:space="0" w:color="000000"/>
              <w:right w:val="single" w:sz="3" w:space="0" w:color="3E3E3E"/>
            </w:tcBorders>
            <w:shd w:val="clear" w:color="auto" w:fill="F1F1F1"/>
          </w:tcPr>
          <w:p>
            <w:pPr>
              <w:pStyle w:val="TableParagraph"/>
              <w:spacing w:before="81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2. Comunicación inicial a los demás solicitantes con sumas aprobadas total o parcialmente directamente o a través de sus apoderados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211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544" w:type="dxa"/>
            <w:vMerge w:val="restart"/>
            <w:tcBorders>
              <w:top w:val="single" w:sz="3" w:space="0" w:color="3E3E3E"/>
              <w:left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71" w:lineRule="auto" w:before="0"/>
              <w:ind w:right="41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3. Comunicación a los demás solicitantes sin sumas aprobadas directamente o a través de sus apoderados:</w:t>
            </w:r>
          </w:p>
        </w:tc>
        <w:tc>
          <w:tcPr>
            <w:tcW w:w="589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38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- Solicitudes simples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211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54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589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41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- Procesos ordinarios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212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54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589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42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- Sentencias sin requisitos de ley para pago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211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25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58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41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- Proceso ejecutivos o coactivos sin requisitos de ley para pago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211" w:hRule="exact"/>
        </w:trPr>
        <w:tc>
          <w:tcPr>
            <w:tcW w:w="38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28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4. Trámite de comunicaciones devueltas.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211" w:hRule="exact"/>
        </w:trPr>
        <w:tc>
          <w:tcPr>
            <w:tcW w:w="383" w:type="dxa"/>
            <w:tcBorders>
              <w:top w:val="single" w:sz="3" w:space="0" w:color="000000"/>
              <w:bottom w:val="nil"/>
              <w:right w:val="single" w:sz="3" w:space="0" w:color="000000"/>
            </w:tcBorders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28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5. Comunicación a los demas acreedores identificados en el proceso.</w:t>
            </w:r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000000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3E3E3E"/>
              <w:left w:val="single" w:sz="3" w:space="0" w:color="3E3E3E"/>
              <w:bottom w:val="nil"/>
              <w:right w:val="single" w:sz="3" w:space="0" w:color="3E3E3E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  <w:right w:val="single" w:sz="3" w:space="0" w:color="3E3E3E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3E3E3E"/>
              <w:left w:val="single" w:sz="3" w:space="0" w:color="3E3E3E"/>
              <w:bottom w:val="single" w:sz="3" w:space="0" w:color="3E3E3E"/>
            </w:tcBorders>
            <w:shd w:val="clear" w:color="auto" w:fill="F1F1F1"/>
          </w:tcPr>
          <w:p>
            <w:pPr/>
          </w:p>
        </w:tc>
      </w:tr>
      <w:tr>
        <w:trPr>
          <w:trHeight w:val="271" w:hRule="exact"/>
        </w:trPr>
        <w:tc>
          <w:tcPr>
            <w:tcW w:w="13656" w:type="dxa"/>
            <w:gridSpan w:val="17"/>
            <w:tcBorders>
              <w:top w:val="nil"/>
              <w:bottom w:val="single" w:sz="23" w:space="0" w:color="B8CCE3"/>
            </w:tcBorders>
            <w:shd w:val="clear" w:color="auto" w:fill="1F487C"/>
          </w:tcPr>
          <w:p>
            <w:pPr>
              <w:pStyle w:val="TableParagraph"/>
              <w:spacing w:before="23"/>
              <w:ind w:left="101" w:right="8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II FASE  DE PRE-ACUERDOS</w:t>
            </w:r>
          </w:p>
        </w:tc>
      </w:tr>
      <w:tr>
        <w:trPr>
          <w:trHeight w:val="283" w:hRule="exact"/>
        </w:trPr>
        <w:tc>
          <w:tcPr>
            <w:tcW w:w="383" w:type="dxa"/>
            <w:vMerge w:val="restart"/>
            <w:tcBorders>
              <w:top w:val="single" w:sz="23" w:space="0" w:color="B8CCE3"/>
              <w:right w:val="single" w:sz="3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S</w:t>
            </w:r>
            <w:r>
              <w:rPr>
                <w:b/>
                <w:spacing w:val="-2"/>
                <w:w w:val="103"/>
                <w:sz w:val="10"/>
              </w:rPr>
              <w:t>O</w:t>
            </w:r>
            <w:r>
              <w:rPr>
                <w:b/>
                <w:spacing w:val="-1"/>
                <w:w w:val="103"/>
                <w:sz w:val="10"/>
              </w:rPr>
              <w:t>L</w:t>
            </w:r>
            <w:r>
              <w:rPr>
                <w:b/>
                <w:w w:val="103"/>
                <w:sz w:val="10"/>
              </w:rPr>
              <w:t>ICI</w:t>
            </w:r>
            <w:r>
              <w:rPr>
                <w:b/>
                <w:spacing w:val="-1"/>
                <w:w w:val="103"/>
                <w:sz w:val="10"/>
              </w:rPr>
              <w:t>T</w:t>
            </w:r>
            <w:r>
              <w:rPr>
                <w:b/>
                <w:w w:val="103"/>
                <w:sz w:val="10"/>
              </w:rPr>
              <w:t>UDE</w:t>
            </w:r>
            <w:r>
              <w:rPr>
                <w:b/>
                <w:w w:val="103"/>
                <w:sz w:val="10"/>
              </w:rPr>
              <w:t>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w w:val="103"/>
                <w:sz w:val="10"/>
              </w:rPr>
              <w:t>O</w:t>
            </w:r>
            <w:r>
              <w:rPr>
                <w:b/>
                <w:w w:val="103"/>
                <w:sz w:val="10"/>
              </w:rPr>
              <w:t>P</w:t>
            </w:r>
            <w:r>
              <w:rPr>
                <w:b/>
                <w:spacing w:val="-2"/>
                <w:w w:val="103"/>
                <w:sz w:val="10"/>
              </w:rPr>
              <w:t>O</w:t>
            </w:r>
            <w:r>
              <w:rPr>
                <w:b/>
                <w:w w:val="103"/>
                <w:sz w:val="10"/>
              </w:rPr>
              <w:t>R</w:t>
            </w:r>
            <w:r>
              <w:rPr>
                <w:b/>
                <w:spacing w:val="-1"/>
                <w:w w:val="103"/>
                <w:sz w:val="10"/>
              </w:rPr>
              <w:t>T</w:t>
            </w:r>
            <w:r>
              <w:rPr>
                <w:b/>
                <w:w w:val="103"/>
                <w:sz w:val="10"/>
              </w:rPr>
              <w:t>UN</w:t>
            </w:r>
            <w:r>
              <w:rPr>
                <w:b/>
                <w:spacing w:val="-1"/>
                <w:w w:val="103"/>
                <w:sz w:val="10"/>
              </w:rPr>
              <w:t>A</w:t>
            </w:r>
            <w:r>
              <w:rPr>
                <w:b/>
                <w:w w:val="103"/>
                <w:sz w:val="10"/>
              </w:rPr>
              <w:t>S</w:t>
            </w:r>
          </w:p>
        </w:tc>
        <w:tc>
          <w:tcPr>
            <w:tcW w:w="8442" w:type="dxa"/>
            <w:gridSpan w:val="2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1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1. Reunión abogados relacionados con temas de procesos judiciales, sentencias y ejecutivos</w:t>
            </w:r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54" w:right="41"/>
              <w:jc w:val="center"/>
              <w:rPr>
                <w:b/>
                <w:sz w:val="7"/>
              </w:rPr>
            </w:pPr>
            <w:r>
              <w:rPr>
                <w:b/>
                <w:color w:val="3E3E3E"/>
                <w:sz w:val="7"/>
              </w:rPr>
              <w:t>4 Oct</w:t>
            </w:r>
          </w:p>
        </w:tc>
        <w:tc>
          <w:tcPr>
            <w:tcW w:w="382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23" w:space="0" w:color="B8CCE3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57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2. Firma preacuerdos con personal reincorporado Bogotá - previa citación personal*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48" w:right="35"/>
              <w:jc w:val="center"/>
              <w:rPr>
                <w:b/>
                <w:sz w:val="7"/>
              </w:rPr>
            </w:pPr>
            <w:r>
              <w:rPr>
                <w:b/>
                <w:color w:val="3E3E3E"/>
                <w:sz w:val="7"/>
              </w:rPr>
              <w:t>28-sep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57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3. Firma preacuerdos con personal reincorporado sedes a nivel nacional - previa citación personal *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57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4. Firma preacuerdos con personal NO reincorporado Bogotá - previa citación  personal.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57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5. Firma preacuerdos con personal NO reincorporado a nivel nacional - previa citación personal.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57" w:hRule="exact"/>
        </w:trPr>
        <w:tc>
          <w:tcPr>
            <w:tcW w:w="383" w:type="dxa"/>
            <w:vMerge/>
            <w:tcBorders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6. Firma preacuerdos con otros acreedores aprobados Bogotá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57" w:hRule="exact"/>
        </w:trPr>
        <w:tc>
          <w:tcPr>
            <w:tcW w:w="38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9D9D9"/>
            <w:textDirection w:val="btLr"/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7. Firma preacuerdos con otros acreedores aprobados a nivel nacional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57" w:hRule="exact"/>
        </w:trPr>
        <w:tc>
          <w:tcPr>
            <w:tcW w:w="38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8. Firma preacuerdos con otros acreedores aprobados identificados en el proceso a nivel nacional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257" w:hRule="exact"/>
        </w:trPr>
        <w:tc>
          <w:tcPr>
            <w:tcW w:w="38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9. Definición de acreencias con el Sistema de Seguridad Social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C000"/>
          </w:tcPr>
          <w:p>
            <w:pPr/>
          </w:p>
        </w:tc>
      </w:tr>
      <w:tr>
        <w:trPr>
          <w:trHeight w:val="94" w:hRule="exact"/>
        </w:trPr>
        <w:tc>
          <w:tcPr>
            <w:tcW w:w="13656" w:type="dxa"/>
            <w:gridSpan w:val="17"/>
            <w:tcBorders>
              <w:top w:val="single" w:sz="3" w:space="0" w:color="000000"/>
              <w:bottom w:val="nil"/>
            </w:tcBorders>
            <w:shd w:val="clear" w:color="auto" w:fill="808080"/>
          </w:tcPr>
          <w:p>
            <w:pPr/>
          </w:p>
        </w:tc>
      </w:tr>
      <w:tr>
        <w:trPr>
          <w:trHeight w:val="278" w:hRule="exact"/>
        </w:trPr>
        <w:tc>
          <w:tcPr>
            <w:tcW w:w="383" w:type="dxa"/>
            <w:tcBorders>
              <w:top w:val="nil"/>
              <w:bottom w:val="single" w:sz="3" w:space="0" w:color="000000"/>
              <w:right w:val="single" w:sz="3" w:space="0" w:color="3E3E3E"/>
            </w:tcBorders>
          </w:tcPr>
          <w:p>
            <w:pPr/>
          </w:p>
        </w:tc>
        <w:tc>
          <w:tcPr>
            <w:tcW w:w="8442" w:type="dxa"/>
            <w:gridSpan w:val="2"/>
            <w:tcBorders>
              <w:top w:val="single" w:sz="3" w:space="0" w:color="3E3E3E"/>
              <w:left w:val="single" w:sz="3" w:space="0" w:color="3E3E3E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>
              <w:pStyle w:val="TableParagraph"/>
              <w:spacing w:before="28"/>
              <w:rPr>
                <w:b/>
                <w:sz w:val="10"/>
              </w:rPr>
            </w:pPr>
            <w:r>
              <w:rPr>
                <w:b/>
                <w:color w:val="3E3E3E"/>
                <w:w w:val="105"/>
                <w:sz w:val="10"/>
              </w:rPr>
              <w:t>* Programación previamente informada a Directores de CAT y Decanos</w:t>
            </w:r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>
            <w:pPr/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525" w:hRule="exact"/>
        </w:trPr>
        <w:tc>
          <w:tcPr>
            <w:tcW w:w="13656" w:type="dxa"/>
            <w:gridSpan w:val="17"/>
            <w:tcBorders>
              <w:top w:val="single" w:sz="3" w:space="0" w:color="000000"/>
              <w:bottom w:val="single" w:sz="8" w:space="0" w:color="000000"/>
            </w:tcBorders>
            <w:shd w:val="clear" w:color="auto" w:fill="92CDDC"/>
          </w:tcPr>
          <w:p>
            <w:pPr>
              <w:pStyle w:val="TableParagraph"/>
              <w:spacing w:line="162" w:lineRule="exact" w:before="0"/>
              <w:ind w:left="101" w:right="98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333333"/>
                <w:sz w:val="14"/>
                <w:u w:val="single" w:color="333333"/>
              </w:rPr>
              <w:t>Importante</w:t>
            </w:r>
            <w:r>
              <w:rPr>
                <w:rFonts w:ascii="Calibri" w:hAnsi="Calibri"/>
                <w:b/>
                <w:color w:val="333333"/>
                <w:sz w:val="14"/>
              </w:rPr>
              <w:t>: para atender directamente cualquier duda relacionada con el proceso, usted puede escribirnos al correo </w:t>
            </w:r>
            <w:hyperlink r:id="rId5">
              <w:r>
                <w:rPr>
                  <w:rFonts w:ascii="Calibri" w:hAnsi="Calibri"/>
                  <w:b/>
                  <w:color w:val="333333"/>
                  <w:sz w:val="14"/>
                  <w:u w:val="single" w:color="333333"/>
                </w:rPr>
                <w:t>inventariodeacreedores@sanmartin.edu.co </w:t>
              </w:r>
            </w:hyperlink>
            <w:r>
              <w:rPr>
                <w:rFonts w:ascii="Calibri" w:hAnsi="Calibri"/>
                <w:b/>
                <w:color w:val="333333"/>
                <w:sz w:val="14"/>
              </w:rPr>
              <w:t>informando el número de cédula y de solicitud dentro del proceso de</w:t>
            </w:r>
          </w:p>
          <w:p>
            <w:pPr>
              <w:pStyle w:val="TableParagraph"/>
              <w:spacing w:before="6"/>
              <w:ind w:left="101" w:right="94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333333"/>
                <w:sz w:val="14"/>
              </w:rPr>
              <w:t>identificación de acreedores.</w:t>
            </w:r>
          </w:p>
          <w:p>
            <w:pPr>
              <w:pStyle w:val="TableParagraph"/>
              <w:spacing w:before="7"/>
              <w:ind w:left="101" w:right="98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333333"/>
                <w:sz w:val="14"/>
              </w:rPr>
              <w:t>Nota: Este cronograma de actividades está sujeto a cambios o modificaciones.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4.400002pt;margin-top:395.929993pt;width:682.4pt;height:4.6pt;mso-position-horizontal-relative:page;mso-position-vertical-relative:page;z-index:-26728" coordorigin="1088,7919" coordsize="13648,92">
            <v:rect style="position:absolute;left:1092;top:7921;width:13637;height:89" filled="true" fillcolor="#808080" stroked="false">
              <v:fill type="solid"/>
            </v:rect>
            <v:line style="position:absolute" from="1092,7923" to="14731,7923" stroked="true" strokeweight=".36002pt" strokecolor="#000000"/>
            <w10:wrap type="none"/>
          </v:group>
        </w:pict>
      </w:r>
    </w:p>
    <w:sectPr>
      <w:type w:val="continuous"/>
      <w:pgSz w:w="15840" w:h="12240" w:orient="landscape"/>
      <w:pgMar w:top="108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7"/>
      <w:ind w:left="1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ventariodeacreedores@sanmartin.edu.c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2017-09-26T13:48:00Z</dcterms:created>
  <dcterms:modified xsi:type="dcterms:W3CDTF">2017-09-26T13:48:00Z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2017-09-26T00:00:00Z</vt:filetime>
  </property>
</Properties>
</file>